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TÍTULO: Como é que os sistemas de aprendizagem de máquinas reconhecem o que vêem?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Duração</w:t>
            </w:r>
          </w:p>
          <w:p w:rsidR="00000000" w:rsidDel="00000000" w:rsidP="00000000" w:rsidRDefault="00000000" w:rsidRPr="00000000" w14:paraId="0000000B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b w:val="1"/>
                <w:i w:val="1"/>
                <w:color w:val="323e4f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color w:val="323e4f"/>
                <w:sz w:val="16"/>
                <w:szCs w:val="16"/>
                <w:rtl w:val="0"/>
              </w:rPr>
              <w:t xml:space="preserve">Idade dos alunos: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Ideia Essencial:</w:t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sz w:val="22"/>
                <w:szCs w:val="22"/>
                <w:rtl w:val="0"/>
              </w:rPr>
              <w:t xml:space="preserve">Treine um computador para reconhecer as suas imagens e sons.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Tópicos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inteligência artificial, aprendizagem de máquinas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ind w:left="144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conhecer e compreender o conceito de aprendizagem de máquinas e redes neurais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ind w:left="144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experimentar com IA: formação, testes, aperfeiçoamento de modelos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Resultados: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7"/>
              </w:numP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capacidade de testar modelos relacionados com o reconhecimento de imagem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7"/>
              </w:numP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criam os seus próprios projetos utilizando a plataforma AI online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7"/>
              </w:numP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pensamento algorítmico: compreensão, análise e resolução de problemas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1F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trabalho individual, trabalho em pares, trabalho de grupo</w:t>
            </w:r>
          </w:p>
          <w:p w:rsidR="00000000" w:rsidDel="00000000" w:rsidP="00000000" w:rsidRDefault="00000000" w:rsidRPr="00000000" w14:paraId="00000021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apresentação, conversa, exercício interativo</w:t>
            </w:r>
          </w:p>
          <w:p w:rsidR="00000000" w:rsidDel="00000000" w:rsidP="00000000" w:rsidRDefault="00000000" w:rsidRPr="00000000" w14:paraId="00000024">
            <w:pPr>
              <w:ind w:left="7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O curso de ação (duração, minutos)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objetivo deste curso é compreender como os computadores e outros dispositivos inteligentes percebem e identificam os eventos do seu ambiente.</w:t>
            </w:r>
          </w:p>
          <w:p w:rsidR="00000000" w:rsidDel="00000000" w:rsidP="00000000" w:rsidRDefault="00000000" w:rsidRPr="00000000" w14:paraId="0000002A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os dispositivos inteligentes vêem o mundo que os rodeia?</w:t>
            </w:r>
          </w:p>
          <w:p w:rsidR="00000000" w:rsidDel="00000000" w:rsidP="00000000" w:rsidRDefault="00000000" w:rsidRPr="00000000" w14:paraId="0000002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os dispositivos inteligentes decidem o que fazer?</w:t>
            </w:r>
          </w:p>
          <w:p w:rsidR="00000000" w:rsidDel="00000000" w:rsidP="00000000" w:rsidRDefault="00000000" w:rsidRPr="00000000" w14:paraId="0000002D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os sistemas de aprendizagem automática reconhecem o que vêem?</w:t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Pense em carros inteligentes, pesquisa na web, música e recomendações de vídeo.</w:t>
            </w:r>
          </w:p>
          <w:p w:rsidR="00000000" w:rsidDel="00000000" w:rsidP="00000000" w:rsidRDefault="00000000" w:rsidRPr="00000000" w14:paraId="0000003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dispositivos podem aprender?</w:t>
            </w:r>
          </w:p>
          <w:p w:rsidR="00000000" w:rsidDel="00000000" w:rsidP="00000000" w:rsidRDefault="00000000" w:rsidRPr="00000000" w14:paraId="00000031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Apresentação do objetivo da lição: </w:t>
            </w:r>
          </w:p>
          <w:p w:rsidR="00000000" w:rsidDel="00000000" w:rsidP="00000000" w:rsidRDefault="00000000" w:rsidRPr="00000000" w14:paraId="00000034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Hoje vamos aprender a treinar os nossos modelos de IA!</w:t>
            </w:r>
          </w:p>
          <w:p w:rsidR="00000000" w:rsidDel="00000000" w:rsidP="00000000" w:rsidRDefault="00000000" w:rsidRPr="00000000" w14:paraId="00000035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PARTE PRINCIPAL</w:t>
            </w:r>
          </w:p>
          <w:p w:rsidR="00000000" w:rsidDel="00000000" w:rsidP="00000000" w:rsidRDefault="00000000" w:rsidRPr="00000000" w14:paraId="000000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aprendizagem de máquinas é uma técnica para treinar sistemas informáticos a reconhecer imagens e movimento. Para treinar um modelo de aprendizagem de máquinas, alimentamo-lo com uma série de exemplos com os quais podemos aprender. Isto é como quando se aprende uma nova palavra, é preciso ver um monte de exemplos dela para compreender o seu significado.</w:t>
            </w:r>
          </w:p>
          <w:p w:rsidR="00000000" w:rsidDel="00000000" w:rsidP="00000000" w:rsidRDefault="00000000" w:rsidRPr="00000000" w14:paraId="0000003A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Imagine que queremos criar uma aplicação que o anima quando está triste. Para detectar se está feliz ou triste, poderíamos treinar um modelo de aprendizagem de máquinas para olhar para fotografias suas e reconhecer os seus sorrisos vs. carrancas.  Alimentá-lo-íamos com muitas fotos de si a sorrir, e muitas fotos de si a franzir o sobrolho, e deixar o algoritmo de aprendizagem aprender com isso. No final, podemos ter um sistema de aprendizagem automática para a nossa aplicação que nos pode dizer se estás a sorrir ou a fazer cara feia!</w:t>
            </w:r>
          </w:p>
          <w:p w:rsidR="00000000" w:rsidDel="00000000" w:rsidP="00000000" w:rsidRDefault="00000000" w:rsidRPr="00000000" w14:paraId="0000003C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</w:rPr>
              <w:drawing>
                <wp:inline distB="0" distT="0" distL="0" distR="0">
                  <wp:extent cx="5510009" cy="3341848"/>
                  <wp:effectExtent b="0" l="0" r="0" t="0"/>
                  <wp:docPr descr="A picture containing graphical user interface&#10;&#10;Description automatically generated" id="21" name="image5.png"/>
                  <a:graphic>
                    <a:graphicData uri="http://schemas.openxmlformats.org/drawingml/2006/picture">
                      <pic:pic>
                        <pic:nvPicPr>
                          <pic:cNvPr descr="A picture containing graphical user interface&#10;&#10;Description automatically generated" id="0" name="image5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0009" cy="334184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Neste exemplo, os exemplos de entrada (também conhecidos como dados de entrada) são fotografias suas a sorrir ou a franzir o sobrolho, cada uma com um rótulo que indica se a fotografia é um sorriso ou franzir o sobrolho.</w:t>
            </w:r>
          </w:p>
          <w:p w:rsidR="00000000" w:rsidDel="00000000" w:rsidP="00000000" w:rsidRDefault="00000000" w:rsidRPr="00000000" w14:paraId="0000004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algoritmo de aprendizagem toma estes exemplos e aprende a prever se uma dada fotografia é um sorriso ou um rosto carrancudo. Isto é como reconhecer padrões num conjunto de exemplos.</w:t>
            </w:r>
          </w:p>
          <w:p w:rsidR="00000000" w:rsidDel="00000000" w:rsidP="00000000" w:rsidRDefault="00000000" w:rsidRPr="00000000" w14:paraId="00000042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Quando o algoritmo de aprendizagem é treinado, podemos usá-lo para classificar ou prever que etiqueta tem qualquer fotografia. Assim podemos tirar uma nova foto, colocá-la no sistema, e ele dir-nos-á se pensa que é um sorriso ou uma carranca.</w:t>
            </w:r>
          </w:p>
          <w:p w:rsidR="00000000" w:rsidDel="00000000" w:rsidP="00000000" w:rsidRDefault="00000000" w:rsidRPr="00000000" w14:paraId="00000045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Máquina Ensinável (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color w:val="44546a"/>
                <w:rtl w:val="0"/>
              </w:rPr>
              <w:t xml:space="preserve">) é uma ferramenta de aprendizagem de máquinas baseada na web que pode ser utilizada para treinar um computador a reconhecer diferentes tipos de dados. Aprenderemos a utilizar Máquina Ensinável e discutiremos a importância dos dados de formação e representação nos nossos próprios modelos de aprendizagem de máquinas. Isto é como o reconhecimento de padrões num conjunto de exemplos.</w:t>
            </w:r>
          </w:p>
          <w:p w:rsidR="00000000" w:rsidDel="00000000" w:rsidP="00000000" w:rsidRDefault="00000000" w:rsidRPr="00000000" w14:paraId="00000047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4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poderão ser os dados de entrada de formação para um modelo de aprendizagem de máquinas?</w:t>
            </w:r>
          </w:p>
          <w:p w:rsidR="00000000" w:rsidDel="00000000" w:rsidP="00000000" w:rsidRDefault="00000000" w:rsidRPr="00000000" w14:paraId="0000004A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que rótulos estariam os dados de formação ligados?</w:t>
            </w:r>
          </w:p>
          <w:p w:rsidR="00000000" w:rsidDel="00000000" w:rsidP="00000000" w:rsidRDefault="00000000" w:rsidRPr="00000000" w14:paraId="0000004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um computador sabe o que vê?</w:t>
            </w:r>
          </w:p>
          <w:p w:rsidR="00000000" w:rsidDel="00000000" w:rsidP="00000000" w:rsidRDefault="00000000" w:rsidRPr="00000000" w14:paraId="0000004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Pensemos na etapa de aprendizagem em que o algoritmo de aprendizagem da máquina encontra padrões entre os dados de entrada etiquetados. Em última análise, ele apresenta uma forma de diferenciar entre os dois conjuntos de imagens.</w:t>
            </w:r>
          </w:p>
          <w:p w:rsidR="00000000" w:rsidDel="00000000" w:rsidP="00000000" w:rsidRDefault="00000000" w:rsidRPr="00000000" w14:paraId="0000004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são algumas características (ou características) destes dois grupos de fotografias que ajudam um computador a reconhecer a diferença?</w:t>
            </w:r>
          </w:p>
          <w:p w:rsidR="00000000" w:rsidDel="00000000" w:rsidP="00000000" w:rsidRDefault="00000000" w:rsidRPr="00000000" w14:paraId="0000004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Dica: Todas estas serão características visuais, uma vez que o computador não consegue sentir ou provar o cereal (uma vez que só lhe demos fotografias dos pedaços). Mais: tamanho, cor, textura, forma, fundo</w:t>
            </w:r>
          </w:p>
          <w:p w:rsidR="00000000" w:rsidDel="00000000" w:rsidP="00000000" w:rsidRDefault="00000000" w:rsidRPr="00000000" w14:paraId="0000004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são as classes de saída do classificador?</w:t>
            </w:r>
          </w:p>
          <w:p w:rsidR="00000000" w:rsidDel="00000000" w:rsidP="00000000" w:rsidRDefault="00000000" w:rsidRPr="00000000" w14:paraId="0000005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que pode o modelo de aprendizagem da máquina totalmente treinada dizer-nos sobre novas imagens de pedaços de cereais?</w:t>
            </w:r>
          </w:p>
          <w:p w:rsidR="00000000" w:rsidDel="00000000" w:rsidP="00000000" w:rsidRDefault="00000000" w:rsidRPr="00000000" w14:paraId="0000005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Quando o modelo tiver sido treinado, podemos perguntar ao modelo que categorias pensa que são novas imagens.</w:t>
            </w:r>
          </w:p>
          <w:p w:rsidR="00000000" w:rsidDel="00000000" w:rsidP="00000000" w:rsidRDefault="00000000" w:rsidRPr="00000000" w14:paraId="0000005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podem ser estas categorias (ou classes de saída)?</w:t>
            </w:r>
          </w:p>
          <w:p w:rsidR="00000000" w:rsidDel="00000000" w:rsidP="00000000" w:rsidRDefault="00000000" w:rsidRPr="00000000" w14:paraId="0000005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Dica: As classes de saída tendem a corresponder com as etiquetas de entrada.</w:t>
            </w:r>
          </w:p>
          <w:p w:rsidR="00000000" w:rsidDel="00000000" w:rsidP="00000000" w:rsidRDefault="00000000" w:rsidRPr="00000000" w14:paraId="0000005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Ensine um modelo a classificar imagens usando ficheiros ou a tua webcam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Vá a: : </w:t>
            </w:r>
            <w:hyperlink r:id="rId9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</w:rPr>
              <w:drawing>
                <wp:inline distB="0" distT="0" distL="0" distR="0">
                  <wp:extent cx="3813794" cy="1934649"/>
                  <wp:effectExtent b="0" l="0" r="0" t="0"/>
                  <wp:docPr descr="Graphical user interface, text, application&#10;&#10;Description automatically generated" id="22" name="image6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&#10;&#10;Description automatically generated" id="0" name="image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3794" cy="193464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rFonts w:ascii="Helvetica Neue" w:cs="Helvetica Neue" w:eastAsia="Helvetica Neue" w:hAnsi="Helvetica Neue"/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Get Started – New Project– Image Project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459105</wp:posOffset>
                  </wp:positionH>
                  <wp:positionV relativeFrom="paragraph">
                    <wp:posOffset>127635</wp:posOffset>
                  </wp:positionV>
                  <wp:extent cx="4059555" cy="1363980"/>
                  <wp:effectExtent b="0" l="0" r="0" t="0"/>
                  <wp:wrapSquare wrapText="bothSides" distB="0" distT="0" distL="114300" distR="114300"/>
                  <wp:docPr descr="Graphical user interface, application&#10;&#10;Description automatically generated" id="26" name="image1.png"/>
                  <a:graphic>
                    <a:graphicData uri="http://schemas.openxmlformats.org/drawingml/2006/picture">
                      <pic:pic>
                        <pic:nvPicPr>
                          <pic:cNvPr descr="Graphical user interface, application&#10;&#10;Description automatically generated" id="0" name="image1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9555" cy="13639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Helvetica Neue" w:cs="Helvetica Neue" w:eastAsia="Helvetica Neue" w:hAnsi="Helvetica Neue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Helvetica Neue" w:cs="Helvetica Neue" w:eastAsia="Helvetica Neue" w:hAnsi="Helvetica Neue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 tutorial: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992.1259842519685" w:firstLine="141.73228346456668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Reunir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https://www.youtube.com/watch?v=DFBbSTvtpy4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78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78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Formação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https://www.youtube.com/watch?v=CO67EQ0ZWgA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Exportação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https://www.youtube.com/watch?v=n-zeeRLBgd0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44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Apresente o seu modelo aos alunos da turma. Debatam. Guarde o seu trabalho para o e-portfólio da turma.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Helvetica Neue" w:cs="Helvetica Neue" w:eastAsia="Helvetica Neue" w:hAnsi="Helvetica Neue"/>
                <w:color w:val="333333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7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Podemos ser capazes de confundir o modelo. </w:t>
            </w:r>
          </w:p>
          <w:p w:rsidR="00000000" w:rsidDel="00000000" w:rsidP="00000000" w:rsidRDefault="00000000" w:rsidRPr="00000000" w14:paraId="00000074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Alguém reparou que todas as fotografias que tirei têm o mesmo fundo? </w:t>
            </w:r>
          </w:p>
          <w:p w:rsidR="00000000" w:rsidDel="00000000" w:rsidP="00000000" w:rsidRDefault="00000000" w:rsidRPr="00000000" w14:paraId="0000007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 se tentarmos mudar o fundo?</w:t>
            </w:r>
          </w:p>
          <w:p w:rsidR="00000000" w:rsidDel="00000000" w:rsidP="00000000" w:rsidRDefault="00000000" w:rsidRPr="00000000" w14:paraId="0000007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é que sabemos que o modelo está a ficar confuso?</w:t>
            </w:r>
          </w:p>
          <w:p w:rsidR="00000000" w:rsidDel="00000000" w:rsidP="00000000" w:rsidRDefault="00000000" w:rsidRPr="00000000" w14:paraId="00000077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Ensinar um modelo para classificar o áudio através da gravação de pequenas amostras de som.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hanging="360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Apresente o seu modelo aos alunos da turma. Discutir. Guarde o seu trabalho para a carteira eletrónica da turma.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1068" w:firstLine="0"/>
              <w:jc w:val="left"/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Helvetica Neue" w:cs="Helvetica Neue" w:eastAsia="Helvetica Neue" w:hAnsi="Helvetica Neue"/>
                <w:color w:val="000000"/>
                <w:sz w:val="27"/>
                <w:szCs w:val="2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Inteligência Artificial dá-nos um mundo de possibilidades: podemos formar modelos para aprender sobre numerosos tipos de dados e aplicar esses modelos para ajudar a resolver problemas humanos reais.</w:t>
            </w:r>
          </w:p>
          <w:p w:rsidR="00000000" w:rsidDel="00000000" w:rsidP="00000000" w:rsidRDefault="00000000" w:rsidRPr="00000000" w14:paraId="00000080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apresentação                                         entrevista</w:t>
            </w:r>
          </w:p>
          <w:p w:rsidR="00000000" w:rsidDel="00000000" w:rsidP="00000000" w:rsidRDefault="00000000" w:rsidRPr="00000000" w14:paraId="00000086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conversas/discussões                            demonstração</w:t>
            </w:r>
          </w:p>
          <w:p w:rsidR="00000000" w:rsidDel="00000000" w:rsidP="00000000" w:rsidRDefault="00000000" w:rsidRPr="00000000" w14:paraId="00000087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no texto                                   desempenho de papéis</w:t>
            </w:r>
          </w:p>
          <w:p w:rsidR="00000000" w:rsidDel="00000000" w:rsidP="00000000" w:rsidRDefault="00000000" w:rsidRPr="00000000" w14:paraId="00000088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89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exercício /simulação interativa no computador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8B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trabalhar em pares</w:t>
            </w:r>
          </w:p>
          <w:p w:rsidR="00000000" w:rsidDel="00000000" w:rsidP="00000000" w:rsidRDefault="00000000" w:rsidRPr="00000000" w14:paraId="0000008C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8D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prévio</w:t>
            </w:r>
          </w:p>
          <w:p w:rsidR="00000000" w:rsidDel="00000000" w:rsidP="00000000" w:rsidRDefault="00000000" w:rsidRPr="00000000" w14:paraId="0000008E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hanging="360"/>
              <w:jc w:val="left"/>
              <w:rPr>
                <w:color w:val="323e4f"/>
              </w:rPr>
            </w:pPr>
            <w:hyperlink r:id="rId12">
              <w:r w:rsidDel="00000000" w:rsidR="00000000" w:rsidRPr="00000000">
                <w:rPr>
                  <w:color w:val="323e4f"/>
                  <w:rtl w:val="0"/>
                </w:rPr>
                <w:t xml:space="preserve">https://www.technologyreview.com/2016/11/03/6485/machines-can-now-recognize-something-after-seeing-it-once/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95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ind w:left="720" w:hanging="360"/>
              <w:jc w:val="left"/>
              <w:rPr>
                <w:color w:val="323e4f"/>
              </w:rPr>
            </w:pP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https://www.idtech.com/blog/intro-to-machine-learning-kids-teens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ind w:left="720" w:hanging="360"/>
              <w:jc w:val="left"/>
              <w:rPr>
                <w:color w:val="323e4f"/>
              </w:rPr>
            </w:pPr>
            <w:hyperlink r:id="rId14">
              <w:r w:rsidDel="00000000" w:rsidR="00000000" w:rsidRPr="00000000">
                <w:rPr>
                  <w:color w:val="44546a"/>
                  <w:u w:val="single"/>
                  <w:rtl w:val="0"/>
                </w:rPr>
                <w:t xml:space="preserve">https://teachablemachine.withgoogle.com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ind w:left="720" w:firstLine="0"/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footerReference r:id="rId17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-154725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25" name="image4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4.png"/>
                  <pic:cNvPicPr preferRelativeResize="0"/>
                </pic:nvPicPr>
                <pic:blipFill>
                  <a:blip r:embed="rId2"/>
                  <a:srcRect b="20432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E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24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23" name="image3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A8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A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6368"/>
    <w:rPr>
      <w:rFonts w:eastAsia="Times New Roman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</w:p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/>
    </w:rPr>
  </w:style>
  <w:style w:type="paragraph" w:styleId="Razred" w:customStyle="1">
    <w:name w:val="_Razred"/>
    <w:basedOn w:val="Normal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6.png"/><Relationship Id="rId13" Type="http://schemas.openxmlformats.org/officeDocument/2006/relationships/hyperlink" Target="https://www.idtech.com/blog/intro-to-machine-learning-kids-teens" TargetMode="External"/><Relationship Id="rId12" Type="http://schemas.openxmlformats.org/officeDocument/2006/relationships/hyperlink" Target="https://www.technologyreview.com/2016/11/03/6485/machines-can-now-recognize-something-after-seeing-it-once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achablemachine.withgoogle.com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teachablemachine.withgoogle.com" TargetMode="External"/><Relationship Id="rId17" Type="http://schemas.openxmlformats.org/officeDocument/2006/relationships/footer" Target="footer2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hyperlink" Target="https://teachablemachine.withgoogl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0zzpPqfxS4yUfMgGnI4/GNfgNg==">AMUW2mUQohjnpQi66tGbZ4LypkNmpHteHzqQeCUc8oTu5uQx8Opu9f8damR+5GPppBOoShqZqGDv4JbQmAaHLMKTEzfKzzERMRvA49oFZAbRTgmJMG6lw3c=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2021-09-22T05:46:00Z</dcterms:created>
  <dc:creator>HP Mobile</dc:creator>
</cp:coreProperties>
</file>